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附件1</w:t>
      </w:r>
    </w:p>
    <w:p>
      <w:pPr>
        <w:spacing w:line="560" w:lineRule="exact"/>
        <w:ind w:firstLine="630"/>
        <w:jc w:val="center"/>
        <w:rPr>
          <w:rFonts w:hint="eastAsia" w:ascii="黑体" w:hAnsi="黑体" w:eastAsia="黑体"/>
          <w:b/>
          <w:sz w:val="44"/>
          <w:szCs w:val="44"/>
        </w:rPr>
      </w:pPr>
    </w:p>
    <w:p>
      <w:pPr>
        <w:spacing w:line="560" w:lineRule="exact"/>
        <w:ind w:firstLine="63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2021年苍南县社科规划课题选题指南</w:t>
      </w:r>
    </w:p>
    <w:bookmarkEnd w:id="0"/>
    <w:p>
      <w:pPr>
        <w:spacing w:line="560" w:lineRule="exact"/>
        <w:ind w:firstLine="630"/>
        <w:rPr>
          <w:rFonts w:hint="eastAsia" w:ascii="仿宋" w:hAnsi="仿宋" w:eastAsia="仿宋"/>
          <w:szCs w:val="32"/>
        </w:rPr>
      </w:pPr>
    </w:p>
    <w:p>
      <w:pPr>
        <w:tabs>
          <w:tab w:val="left" w:pos="312"/>
          <w:tab w:val="left" w:pos="1020"/>
        </w:tabs>
        <w:ind w:firstLine="640" w:firstLineChars="200"/>
        <w:rPr>
          <w:szCs w:val="32"/>
        </w:rPr>
      </w:pPr>
      <w:r>
        <w:rPr>
          <w:szCs w:val="32"/>
        </w:rPr>
        <w:t>1.建党百年苍南党史研究</w:t>
      </w:r>
    </w:p>
    <w:p>
      <w:pPr>
        <w:tabs>
          <w:tab w:val="left" w:pos="312"/>
          <w:tab w:val="left" w:pos="1020"/>
        </w:tabs>
        <w:ind w:firstLine="640" w:firstLineChars="200"/>
        <w:rPr>
          <w:szCs w:val="32"/>
        </w:rPr>
      </w:pPr>
      <w:r>
        <w:rPr>
          <w:szCs w:val="32"/>
        </w:rPr>
        <w:t>2.新时代党建工作创新发展研究</w:t>
      </w:r>
    </w:p>
    <w:p>
      <w:pPr>
        <w:tabs>
          <w:tab w:val="left" w:pos="312"/>
          <w:tab w:val="left" w:pos="1020"/>
        </w:tabs>
        <w:ind w:firstLine="640" w:firstLineChars="200"/>
        <w:rPr>
          <w:szCs w:val="32"/>
        </w:rPr>
      </w:pPr>
      <w:r>
        <w:rPr>
          <w:szCs w:val="32"/>
        </w:rPr>
        <w:t>3.新时代党建引领下的基层治理问题研究</w:t>
      </w:r>
    </w:p>
    <w:p>
      <w:pPr>
        <w:tabs>
          <w:tab w:val="left" w:pos="1020"/>
        </w:tabs>
        <w:ind w:left="623"/>
        <w:rPr>
          <w:szCs w:val="32"/>
        </w:rPr>
      </w:pPr>
      <w:r>
        <w:rPr>
          <w:szCs w:val="32"/>
        </w:rPr>
        <w:t>4.“八八战略”在苍南的创新实践研究</w:t>
      </w:r>
    </w:p>
    <w:p>
      <w:pPr>
        <w:tabs>
          <w:tab w:val="left" w:pos="1020"/>
        </w:tabs>
        <w:ind w:left="623"/>
        <w:rPr>
          <w:szCs w:val="32"/>
        </w:rPr>
      </w:pPr>
      <w:r>
        <w:rPr>
          <w:szCs w:val="32"/>
        </w:rPr>
        <w:t>5.苍南建县四十周年发展成果研究</w:t>
      </w:r>
    </w:p>
    <w:p>
      <w:pPr>
        <w:spacing w:line="560" w:lineRule="exact"/>
        <w:ind w:firstLine="630"/>
        <w:rPr>
          <w:szCs w:val="32"/>
        </w:rPr>
      </w:pPr>
      <w:r>
        <w:rPr>
          <w:szCs w:val="32"/>
        </w:rPr>
        <w:t>6.进一步发挥人大在基层治理中的作用研究</w:t>
      </w:r>
    </w:p>
    <w:p>
      <w:pPr>
        <w:spacing w:line="560" w:lineRule="exact"/>
        <w:ind w:firstLine="630"/>
        <w:rPr>
          <w:szCs w:val="32"/>
        </w:rPr>
      </w:pPr>
      <w:r>
        <w:rPr>
          <w:szCs w:val="32"/>
        </w:rPr>
        <w:t>7.进一步发挥人民政协在区域治理中的作用研究</w:t>
      </w:r>
    </w:p>
    <w:p>
      <w:pPr>
        <w:tabs>
          <w:tab w:val="left" w:pos="312"/>
          <w:tab w:val="left" w:pos="1020"/>
        </w:tabs>
        <w:ind w:left="623"/>
        <w:rPr>
          <w:szCs w:val="32"/>
        </w:rPr>
      </w:pPr>
      <w:r>
        <w:rPr>
          <w:szCs w:val="32"/>
        </w:rPr>
        <w:t>8.苍南高质量建设新时代浙江美丽南大门对策研究</w:t>
      </w:r>
    </w:p>
    <w:p>
      <w:pPr>
        <w:tabs>
          <w:tab w:val="left" w:pos="312"/>
          <w:tab w:val="left" w:pos="1020"/>
        </w:tabs>
        <w:ind w:left="623"/>
        <w:rPr>
          <w:szCs w:val="32"/>
        </w:rPr>
      </w:pPr>
      <w:r>
        <w:rPr>
          <w:szCs w:val="32"/>
        </w:rPr>
        <w:t>9.苍南打造浙南闽东独具特色的滨海花园城市路径研究</w:t>
      </w:r>
    </w:p>
    <w:p>
      <w:pPr>
        <w:tabs>
          <w:tab w:val="left" w:pos="312"/>
          <w:tab w:val="left" w:pos="1020"/>
        </w:tabs>
        <w:ind w:left="623"/>
        <w:rPr>
          <w:szCs w:val="32"/>
        </w:rPr>
      </w:pPr>
      <w:r>
        <w:rPr>
          <w:szCs w:val="32"/>
        </w:rPr>
        <w:t>10.</w:t>
      </w:r>
      <w:r>
        <w:rPr>
          <w:szCs w:val="32"/>
        </w:rPr>
        <w:tab/>
      </w:r>
      <w:r>
        <w:rPr>
          <w:szCs w:val="32"/>
        </w:rPr>
        <w:t>苍南打造现代新型产业成长地路径研究</w:t>
      </w:r>
    </w:p>
    <w:p>
      <w:pPr>
        <w:tabs>
          <w:tab w:val="left" w:pos="312"/>
          <w:tab w:val="left" w:pos="1020"/>
        </w:tabs>
        <w:ind w:left="623"/>
        <w:rPr>
          <w:szCs w:val="32"/>
        </w:rPr>
      </w:pPr>
      <w:r>
        <w:rPr>
          <w:szCs w:val="32"/>
        </w:rPr>
        <w:t>11.</w:t>
      </w:r>
      <w:r>
        <w:rPr>
          <w:szCs w:val="32"/>
        </w:rPr>
        <w:tab/>
      </w:r>
      <w:r>
        <w:rPr>
          <w:szCs w:val="32"/>
        </w:rPr>
        <w:t>苍南打造华东山海沙滩旅游目的地路径研究</w:t>
      </w:r>
    </w:p>
    <w:p>
      <w:pPr>
        <w:tabs>
          <w:tab w:val="left" w:pos="312"/>
          <w:tab w:val="left" w:pos="1020"/>
        </w:tabs>
        <w:ind w:left="623"/>
        <w:rPr>
          <w:szCs w:val="32"/>
        </w:rPr>
      </w:pPr>
      <w:r>
        <w:rPr>
          <w:szCs w:val="32"/>
        </w:rPr>
        <w:t>12.苍南打造全国清洁能源发展示范地路径研究</w:t>
      </w:r>
    </w:p>
    <w:p>
      <w:pPr>
        <w:tabs>
          <w:tab w:val="left" w:pos="312"/>
          <w:tab w:val="left" w:pos="1020"/>
        </w:tabs>
        <w:ind w:left="623"/>
        <w:rPr>
          <w:szCs w:val="32"/>
        </w:rPr>
      </w:pPr>
      <w:r>
        <w:rPr>
          <w:szCs w:val="32"/>
        </w:rPr>
        <w:t>13.苍南打造浙闽协同发展先行地路径研究</w:t>
      </w:r>
    </w:p>
    <w:p>
      <w:pPr>
        <w:tabs>
          <w:tab w:val="left" w:pos="312"/>
          <w:tab w:val="left" w:pos="1020"/>
        </w:tabs>
        <w:ind w:left="623"/>
        <w:rPr>
          <w:szCs w:val="32"/>
        </w:rPr>
      </w:pPr>
      <w:r>
        <w:rPr>
          <w:szCs w:val="32"/>
        </w:rPr>
        <w:t>14.统战工作与民主党派建设研究</w:t>
      </w:r>
    </w:p>
    <w:p>
      <w:pPr>
        <w:spacing w:line="560" w:lineRule="exact"/>
        <w:ind w:firstLine="630"/>
        <w:rPr>
          <w:szCs w:val="32"/>
        </w:rPr>
      </w:pPr>
      <w:r>
        <w:rPr>
          <w:szCs w:val="32"/>
        </w:rPr>
        <w:t>15.苍南社会组织与县域治理现代化研究</w:t>
      </w:r>
    </w:p>
    <w:p>
      <w:pPr>
        <w:spacing w:line="560" w:lineRule="exact"/>
        <w:ind w:firstLine="630"/>
        <w:rPr>
          <w:szCs w:val="32"/>
        </w:rPr>
      </w:pPr>
      <w:r>
        <w:rPr>
          <w:szCs w:val="32"/>
        </w:rPr>
        <w:t>16.苍南民营经济高质量发展研究</w:t>
      </w:r>
    </w:p>
    <w:p>
      <w:pPr>
        <w:spacing w:line="560" w:lineRule="exact"/>
        <w:ind w:firstLine="630"/>
        <w:rPr>
          <w:szCs w:val="32"/>
        </w:rPr>
      </w:pPr>
      <w:r>
        <w:rPr>
          <w:szCs w:val="32"/>
        </w:rPr>
        <w:t>17.数字经济催生制造业高质量发展模式研究</w:t>
      </w:r>
    </w:p>
    <w:p>
      <w:pPr>
        <w:spacing w:line="560" w:lineRule="exact"/>
        <w:ind w:firstLine="630"/>
        <w:rPr>
          <w:szCs w:val="32"/>
        </w:rPr>
      </w:pPr>
      <w:r>
        <w:rPr>
          <w:szCs w:val="32"/>
        </w:rPr>
        <w:t>18.文明城市创建</w:t>
      </w:r>
    </w:p>
    <w:p>
      <w:pPr>
        <w:spacing w:line="560" w:lineRule="exact"/>
        <w:ind w:firstLine="630"/>
        <w:rPr>
          <w:szCs w:val="32"/>
        </w:rPr>
      </w:pPr>
      <w:r>
        <w:rPr>
          <w:szCs w:val="32"/>
        </w:rPr>
        <w:t>19.苍南民营经济“两个健康”发展先行区建设研究</w:t>
      </w:r>
    </w:p>
    <w:p>
      <w:pPr>
        <w:spacing w:line="560" w:lineRule="exact"/>
        <w:ind w:firstLine="630"/>
        <w:rPr>
          <w:szCs w:val="32"/>
        </w:rPr>
      </w:pPr>
      <w:r>
        <w:rPr>
          <w:szCs w:val="32"/>
        </w:rPr>
        <w:t>20.苍南文化与旅游产业融合发展研究</w:t>
      </w:r>
    </w:p>
    <w:p>
      <w:pPr>
        <w:spacing w:line="560" w:lineRule="exact"/>
        <w:ind w:firstLine="630"/>
        <w:rPr>
          <w:szCs w:val="32"/>
        </w:rPr>
      </w:pPr>
      <w:r>
        <w:rPr>
          <w:szCs w:val="32"/>
        </w:rPr>
        <w:t>21.苍南营商环境优化提升研究</w:t>
      </w:r>
    </w:p>
    <w:p>
      <w:pPr>
        <w:spacing w:line="560" w:lineRule="exact"/>
        <w:ind w:firstLine="630"/>
        <w:rPr>
          <w:szCs w:val="32"/>
        </w:rPr>
      </w:pPr>
      <w:r>
        <w:rPr>
          <w:szCs w:val="32"/>
        </w:rPr>
        <w:t>22.“法治苍南”建设对策研究</w:t>
      </w:r>
    </w:p>
    <w:p>
      <w:pPr>
        <w:spacing w:line="560" w:lineRule="exact"/>
        <w:ind w:firstLine="630"/>
        <w:rPr>
          <w:szCs w:val="32"/>
        </w:rPr>
      </w:pPr>
      <w:r>
        <w:rPr>
          <w:szCs w:val="32"/>
        </w:rPr>
        <w:t>23.“数字苍南”建设对策研究</w:t>
      </w:r>
    </w:p>
    <w:p>
      <w:pPr>
        <w:spacing w:line="560" w:lineRule="exact"/>
        <w:ind w:firstLine="630"/>
        <w:rPr>
          <w:szCs w:val="32"/>
        </w:rPr>
      </w:pPr>
      <w:r>
        <w:rPr>
          <w:szCs w:val="32"/>
        </w:rPr>
        <w:t>24.强化乡村振兴人才支撑的对策研究</w:t>
      </w:r>
    </w:p>
    <w:p>
      <w:pPr>
        <w:spacing w:line="560" w:lineRule="exact"/>
        <w:ind w:firstLine="630"/>
        <w:rPr>
          <w:szCs w:val="32"/>
        </w:rPr>
      </w:pPr>
      <w:r>
        <w:rPr>
          <w:szCs w:val="32"/>
        </w:rPr>
        <w:t>25.社会力量办社会事业改革问题研究</w:t>
      </w:r>
    </w:p>
    <w:p>
      <w:pPr>
        <w:spacing w:line="560" w:lineRule="exact"/>
        <w:ind w:firstLine="630"/>
        <w:rPr>
          <w:szCs w:val="32"/>
        </w:rPr>
      </w:pPr>
      <w:r>
        <w:rPr>
          <w:szCs w:val="32"/>
        </w:rPr>
        <w:t>26.推进苍南数字经济发展研究</w:t>
      </w:r>
    </w:p>
    <w:p>
      <w:pPr>
        <w:spacing w:line="560" w:lineRule="exact"/>
        <w:ind w:firstLine="630"/>
        <w:rPr>
          <w:szCs w:val="32"/>
        </w:rPr>
      </w:pPr>
      <w:r>
        <w:rPr>
          <w:szCs w:val="32"/>
        </w:rPr>
        <w:t>27.苍南基础教育优质均衡发展问题研究</w:t>
      </w:r>
    </w:p>
    <w:p>
      <w:pPr>
        <w:spacing w:line="560" w:lineRule="exact"/>
        <w:ind w:firstLine="630"/>
        <w:rPr>
          <w:szCs w:val="32"/>
        </w:rPr>
      </w:pPr>
      <w:r>
        <w:rPr>
          <w:szCs w:val="32"/>
        </w:rPr>
        <w:t>28.苍南农村文化现状研究</w:t>
      </w:r>
    </w:p>
    <w:p>
      <w:pPr>
        <w:spacing w:line="560" w:lineRule="exact"/>
        <w:ind w:firstLine="630"/>
        <w:rPr>
          <w:szCs w:val="32"/>
        </w:rPr>
      </w:pPr>
      <w:r>
        <w:rPr>
          <w:szCs w:val="32"/>
        </w:rPr>
        <w:t>29.苍南传统制造业转型升级研究</w:t>
      </w:r>
    </w:p>
    <w:p>
      <w:pPr>
        <w:spacing w:line="560" w:lineRule="exact"/>
        <w:ind w:firstLine="630"/>
        <w:rPr>
          <w:szCs w:val="32"/>
        </w:rPr>
      </w:pPr>
      <w:r>
        <w:rPr>
          <w:szCs w:val="32"/>
        </w:rPr>
        <w:t>30.苍南现代服务业发展研究</w:t>
      </w:r>
    </w:p>
    <w:p>
      <w:pPr>
        <w:spacing w:line="560" w:lineRule="exact"/>
        <w:ind w:firstLine="630"/>
        <w:rPr>
          <w:szCs w:val="32"/>
        </w:rPr>
      </w:pPr>
      <w:r>
        <w:rPr>
          <w:szCs w:val="32"/>
        </w:rPr>
        <w:t>31.干部队伍思想状况调查与思考</w:t>
      </w:r>
    </w:p>
    <w:p>
      <w:pPr>
        <w:spacing w:line="560" w:lineRule="exact"/>
        <w:ind w:firstLine="630"/>
        <w:rPr>
          <w:szCs w:val="32"/>
        </w:rPr>
      </w:pPr>
      <w:r>
        <w:rPr>
          <w:szCs w:val="32"/>
        </w:rPr>
        <w:t>32.苍南青年人才回归的环境与政策研究</w:t>
      </w:r>
    </w:p>
    <w:p>
      <w:pPr>
        <w:spacing w:line="560" w:lineRule="exact"/>
        <w:ind w:firstLine="630"/>
        <w:rPr>
          <w:szCs w:val="32"/>
        </w:rPr>
      </w:pPr>
      <w:r>
        <w:rPr>
          <w:szCs w:val="32"/>
        </w:rPr>
        <w:t>33.苍南企业家群体研究</w:t>
      </w:r>
    </w:p>
    <w:p>
      <w:pPr>
        <w:spacing w:line="560" w:lineRule="exact"/>
        <w:ind w:firstLine="630"/>
        <w:rPr>
          <w:szCs w:val="32"/>
        </w:rPr>
      </w:pPr>
      <w:r>
        <w:rPr>
          <w:szCs w:val="32"/>
        </w:rPr>
        <w:t>34.苍南地方文献研究</w:t>
      </w:r>
    </w:p>
    <w:p>
      <w:pPr>
        <w:spacing w:line="560" w:lineRule="exact"/>
        <w:ind w:firstLine="630"/>
        <w:rPr>
          <w:szCs w:val="32"/>
        </w:rPr>
      </w:pPr>
      <w:r>
        <w:rPr>
          <w:szCs w:val="32"/>
        </w:rPr>
        <w:t>35.苍南地方民俗文化研究</w:t>
      </w:r>
    </w:p>
    <w:p>
      <w:pPr>
        <w:spacing w:line="560" w:lineRule="exact"/>
        <w:ind w:firstLine="630"/>
        <w:rPr>
          <w:szCs w:val="32"/>
        </w:rPr>
      </w:pPr>
      <w:r>
        <w:rPr>
          <w:szCs w:val="32"/>
        </w:rPr>
        <w:t>36.苍南方言研究</w:t>
      </w:r>
    </w:p>
    <w:p>
      <w:pPr>
        <w:spacing w:line="560" w:lineRule="exact"/>
        <w:ind w:firstLine="630"/>
        <w:rPr>
          <w:szCs w:val="32"/>
        </w:rPr>
      </w:pPr>
      <w:r>
        <w:rPr>
          <w:szCs w:val="32"/>
        </w:rPr>
        <w:t>37.苍南特色饮食文化研究</w:t>
      </w:r>
    </w:p>
    <w:p>
      <w:pPr>
        <w:spacing w:line="560" w:lineRule="exact"/>
        <w:ind w:firstLine="630"/>
        <w:rPr>
          <w:szCs w:val="32"/>
        </w:rPr>
      </w:pPr>
      <w:r>
        <w:rPr>
          <w:szCs w:val="32"/>
        </w:rPr>
        <w:t>38.苍南历史文化名人研究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B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2021-06-03T01:39:25Z</dcterms:created>
  <dc:creator>cnxrmtzx</dc:creator>
  <cp:lastModifiedBy>璐璐</cp:lastModifiedBy>
  <dcterms:modified xsi:type="dcterms:W3CDTF">2021-06-03T01:39:57Z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492443704E2F460BB4F1212310A2EA81</vt:lpwstr>
  </property>
</Properties>
</file>